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15E" w:rsidRDefault="0005015E" w:rsidP="0005015E">
      <w:pPr>
        <w:adjustRightInd w:val="0"/>
        <w:spacing w:line="312" w:lineRule="auto"/>
        <w:jc w:val="center"/>
        <w:rPr>
          <w:rFonts w:eastAsia="黑体"/>
          <w:bCs/>
          <w:kern w:val="0"/>
          <w:sz w:val="30"/>
          <w:szCs w:val="20"/>
        </w:rPr>
      </w:pPr>
      <w:bookmarkStart w:id="0" w:name="_GoBack"/>
      <w:bookmarkEnd w:id="0"/>
      <w:r>
        <w:rPr>
          <w:rFonts w:ascii="宋体" w:eastAsia="黑体" w:hint="eastAsia"/>
          <w:bCs/>
          <w:sz w:val="30"/>
        </w:rPr>
        <w:t>复旦大学</w:t>
      </w:r>
      <w:r>
        <w:rPr>
          <w:rFonts w:eastAsia="黑体" w:hint="eastAsia"/>
          <w:bCs/>
          <w:sz w:val="30"/>
        </w:rPr>
        <w:t>优秀硕士学位论文评选、奖励办法</w:t>
      </w:r>
    </w:p>
    <w:p w:rsidR="0005015E" w:rsidRDefault="0005015E" w:rsidP="0005015E">
      <w:pPr>
        <w:adjustRightInd w:val="0"/>
        <w:spacing w:line="312" w:lineRule="auto"/>
        <w:jc w:val="center"/>
        <w:rPr>
          <w:rFonts w:ascii="仿宋_GB2312" w:eastAsia="仿宋_GB2312"/>
          <w:bCs/>
          <w:sz w:val="24"/>
        </w:rPr>
      </w:pPr>
    </w:p>
    <w:p w:rsidR="0005015E" w:rsidRDefault="0005015E" w:rsidP="0005015E">
      <w:pPr>
        <w:adjustRightInd w:val="0"/>
        <w:spacing w:line="312" w:lineRule="auto"/>
        <w:ind w:firstLine="480"/>
        <w:rPr>
          <w:rFonts w:ascii="仿宋_GB2312" w:eastAsia="仿宋_GB2312" w:hint="eastAsia"/>
          <w:bCs/>
          <w:sz w:val="24"/>
        </w:rPr>
      </w:pPr>
      <w:r>
        <w:rPr>
          <w:rFonts w:ascii="黑体" w:eastAsia="黑体" w:hint="eastAsia"/>
          <w:bCs/>
          <w:sz w:val="24"/>
        </w:rPr>
        <w:t xml:space="preserve">第一条  </w:t>
      </w:r>
      <w:r>
        <w:rPr>
          <w:rFonts w:ascii="仿宋_GB2312" w:eastAsia="仿宋_GB2312" w:hint="eastAsia"/>
          <w:sz w:val="24"/>
        </w:rPr>
        <w:t>为</w:t>
      </w:r>
      <w:r>
        <w:rPr>
          <w:rFonts w:ascii="仿宋_GB2312" w:eastAsia="仿宋_GB2312" w:hint="eastAsia"/>
          <w:bCs/>
          <w:sz w:val="24"/>
        </w:rPr>
        <w:t>激发研究生的创新精神，优化创新人才培养的环境；建立研究生创新激励机制，促进研究生教育走内涵发展的道路；</w:t>
      </w:r>
      <w:r>
        <w:rPr>
          <w:rFonts w:ascii="仿宋_GB2312" w:eastAsia="仿宋_GB2312" w:hint="eastAsia"/>
          <w:sz w:val="24"/>
        </w:rPr>
        <w:t>配合上海市研究生优秀成果（学位论文）评选工作，形成我校硕士学位论文校、市二级评优、激励制度，参照《</w:t>
      </w:r>
      <w:r>
        <w:rPr>
          <w:rFonts w:ascii="仿宋_GB2312" w:eastAsia="仿宋_GB2312" w:hint="eastAsia"/>
          <w:bCs/>
          <w:sz w:val="24"/>
        </w:rPr>
        <w:t>复旦大学优秀博士学位论文评选、奖励办法</w:t>
      </w:r>
      <w:r>
        <w:rPr>
          <w:rFonts w:ascii="仿宋_GB2312" w:eastAsia="仿宋_GB2312" w:hint="eastAsia"/>
          <w:sz w:val="24"/>
        </w:rPr>
        <w:t>》，提出《</w:t>
      </w:r>
      <w:r>
        <w:rPr>
          <w:rFonts w:ascii="仿宋_GB2312" w:eastAsia="仿宋_GB2312" w:hint="eastAsia"/>
          <w:bCs/>
          <w:sz w:val="24"/>
        </w:rPr>
        <w:t>复旦大学优秀硕士学位论文评选、激励办法</w:t>
      </w:r>
      <w:r>
        <w:rPr>
          <w:rFonts w:ascii="仿宋_GB2312" w:eastAsia="仿宋_GB2312" w:hint="eastAsia"/>
          <w:sz w:val="24"/>
        </w:rPr>
        <w:t>》。</w:t>
      </w:r>
    </w:p>
    <w:p w:rsidR="0005015E" w:rsidRDefault="0005015E" w:rsidP="0005015E">
      <w:pPr>
        <w:adjustRightInd w:val="0"/>
        <w:spacing w:line="312" w:lineRule="auto"/>
        <w:ind w:left="482"/>
        <w:jc w:val="left"/>
        <w:rPr>
          <w:rFonts w:ascii="仿宋_GB2312" w:eastAsia="仿宋_GB2312"/>
          <w:b/>
          <w:bCs/>
          <w:szCs w:val="20"/>
        </w:rPr>
      </w:pPr>
    </w:p>
    <w:p w:rsidR="0005015E" w:rsidRDefault="0005015E" w:rsidP="0005015E">
      <w:pPr>
        <w:adjustRightInd w:val="0"/>
        <w:spacing w:line="312" w:lineRule="auto"/>
        <w:ind w:firstLine="480"/>
        <w:jc w:val="left"/>
        <w:rPr>
          <w:rFonts w:ascii="仿宋_GB2312" w:eastAsia="仿宋_GB2312"/>
          <w:sz w:val="24"/>
          <w:szCs w:val="20"/>
        </w:rPr>
      </w:pPr>
      <w:r>
        <w:rPr>
          <w:rFonts w:ascii="黑体" w:eastAsia="黑体" w:hint="eastAsia"/>
          <w:bCs/>
          <w:sz w:val="24"/>
        </w:rPr>
        <w:t>第二条</w:t>
      </w:r>
      <w:r>
        <w:rPr>
          <w:rFonts w:ascii="仿宋_GB2312" w:eastAsia="仿宋_GB2312" w:hint="eastAsia"/>
          <w:sz w:val="24"/>
        </w:rPr>
        <w:t xml:space="preserve">  各院系可向相关学位</w:t>
      </w:r>
      <w:proofErr w:type="gramStart"/>
      <w:r>
        <w:rPr>
          <w:rFonts w:ascii="仿宋_GB2312" w:eastAsia="仿宋_GB2312" w:hint="eastAsia"/>
          <w:sz w:val="24"/>
        </w:rPr>
        <w:t>评定分</w:t>
      </w:r>
      <w:proofErr w:type="gramEnd"/>
      <w:r>
        <w:rPr>
          <w:rFonts w:ascii="仿宋_GB2312" w:eastAsia="仿宋_GB2312" w:hint="eastAsia"/>
          <w:sz w:val="24"/>
        </w:rPr>
        <w:t>委员会推荐</w:t>
      </w:r>
      <w:r>
        <w:rPr>
          <w:rFonts w:ascii="黑体" w:eastAsia="黑体" w:hint="eastAsia"/>
          <w:sz w:val="24"/>
        </w:rPr>
        <w:t>不多于</w:t>
      </w:r>
      <w:r>
        <w:rPr>
          <w:rFonts w:ascii="仿宋_GB2312" w:eastAsia="仿宋_GB2312" w:hint="eastAsia"/>
          <w:sz w:val="24"/>
        </w:rPr>
        <w:t>本院系当届硕士毕业生总数5％的校级优秀硕士学位论文候选论文；各学位</w:t>
      </w:r>
      <w:proofErr w:type="gramStart"/>
      <w:r>
        <w:rPr>
          <w:rFonts w:ascii="仿宋_GB2312" w:eastAsia="仿宋_GB2312" w:hint="eastAsia"/>
          <w:sz w:val="24"/>
        </w:rPr>
        <w:t>评定分</w:t>
      </w:r>
      <w:proofErr w:type="gramEnd"/>
      <w:r>
        <w:rPr>
          <w:rFonts w:ascii="仿宋_GB2312" w:eastAsia="仿宋_GB2312" w:hint="eastAsia"/>
          <w:sz w:val="24"/>
        </w:rPr>
        <w:t>委员会在每次硕士学位评审时，应评选出</w:t>
      </w:r>
      <w:r>
        <w:rPr>
          <w:rFonts w:ascii="黑体" w:eastAsia="黑体" w:hint="eastAsia"/>
          <w:sz w:val="24"/>
        </w:rPr>
        <w:t>不多于</w:t>
      </w:r>
      <w:r>
        <w:rPr>
          <w:rFonts w:ascii="仿宋_GB2312" w:eastAsia="仿宋_GB2312" w:hint="eastAsia"/>
          <w:sz w:val="24"/>
        </w:rPr>
        <w:t>本分委员会当次受理硕士学位申请总数5%的优秀硕士学位论文，作为校级优秀硕士学位论文候选论文，报研究生院学位办公室（以下简称：学位办）组织评审。</w:t>
      </w:r>
    </w:p>
    <w:p w:rsidR="0005015E" w:rsidRDefault="0005015E" w:rsidP="0005015E">
      <w:pPr>
        <w:adjustRightInd w:val="0"/>
        <w:spacing w:line="312" w:lineRule="auto"/>
        <w:ind w:left="482"/>
        <w:jc w:val="left"/>
        <w:rPr>
          <w:rFonts w:ascii="仿宋_GB2312" w:eastAsia="仿宋_GB2312"/>
          <w:b/>
          <w:bCs/>
          <w:szCs w:val="20"/>
        </w:rPr>
      </w:pPr>
    </w:p>
    <w:p w:rsidR="0005015E" w:rsidRDefault="0005015E" w:rsidP="0005015E">
      <w:pPr>
        <w:adjustRightInd w:val="0"/>
        <w:spacing w:line="312" w:lineRule="auto"/>
        <w:ind w:firstLine="480"/>
        <w:jc w:val="left"/>
        <w:rPr>
          <w:rFonts w:ascii="仿宋_GB2312" w:eastAsia="仿宋_GB2312" w:hint="eastAsia"/>
          <w:sz w:val="24"/>
        </w:rPr>
      </w:pPr>
      <w:r>
        <w:rPr>
          <w:rFonts w:ascii="黑体" w:eastAsia="黑体" w:hint="eastAsia"/>
          <w:bCs/>
          <w:sz w:val="24"/>
        </w:rPr>
        <w:t>第三条</w:t>
      </w:r>
      <w:r>
        <w:rPr>
          <w:rFonts w:ascii="仿宋_GB2312" w:eastAsia="仿宋_GB2312" w:hint="eastAsia"/>
          <w:sz w:val="24"/>
        </w:rPr>
        <w:t xml:space="preserve">  各院系应通知并组织获学位</w:t>
      </w:r>
      <w:proofErr w:type="gramStart"/>
      <w:r>
        <w:rPr>
          <w:rFonts w:ascii="仿宋_GB2312" w:eastAsia="仿宋_GB2312" w:hint="eastAsia"/>
          <w:sz w:val="24"/>
        </w:rPr>
        <w:t>评定分</w:t>
      </w:r>
      <w:proofErr w:type="gramEnd"/>
      <w:r>
        <w:rPr>
          <w:rFonts w:ascii="仿宋_GB2312" w:eastAsia="仿宋_GB2312" w:hint="eastAsia"/>
          <w:sz w:val="24"/>
        </w:rPr>
        <w:t>委员会推荐的硕士学位论文作者填写并提交相应的申报材料，具体根据学位办的有关通知执行。</w:t>
      </w:r>
    </w:p>
    <w:p w:rsidR="0005015E" w:rsidRDefault="0005015E" w:rsidP="0005015E">
      <w:pPr>
        <w:adjustRightInd w:val="0"/>
        <w:spacing w:line="312" w:lineRule="auto"/>
        <w:ind w:left="482"/>
        <w:jc w:val="left"/>
        <w:rPr>
          <w:rFonts w:ascii="仿宋_GB2312" w:eastAsia="仿宋_GB2312"/>
          <w:b/>
          <w:bCs/>
          <w:szCs w:val="20"/>
        </w:rPr>
      </w:pPr>
    </w:p>
    <w:p w:rsidR="0005015E" w:rsidRDefault="0005015E" w:rsidP="0005015E">
      <w:pPr>
        <w:adjustRightInd w:val="0"/>
        <w:spacing w:line="312" w:lineRule="auto"/>
        <w:ind w:firstLine="480"/>
        <w:jc w:val="left"/>
        <w:rPr>
          <w:rFonts w:ascii="仿宋_GB2312" w:eastAsia="仿宋_GB2312"/>
          <w:sz w:val="24"/>
          <w:szCs w:val="20"/>
        </w:rPr>
      </w:pPr>
      <w:r>
        <w:rPr>
          <w:rFonts w:ascii="黑体" w:eastAsia="黑体" w:hint="eastAsia"/>
          <w:bCs/>
          <w:sz w:val="24"/>
        </w:rPr>
        <w:t>第四条</w:t>
      </w:r>
      <w:r>
        <w:rPr>
          <w:rFonts w:ascii="仿宋_GB2312" w:eastAsia="仿宋_GB2312" w:hint="eastAsia"/>
          <w:sz w:val="24"/>
        </w:rPr>
        <w:t xml:space="preserve">  </w:t>
      </w:r>
      <w:r w:rsidRPr="005011DF">
        <w:rPr>
          <w:rFonts w:ascii="仿宋_GB2312" w:eastAsia="仿宋_GB2312" w:hint="eastAsia"/>
          <w:sz w:val="24"/>
        </w:rPr>
        <w:t>学位办应对各学位</w:t>
      </w:r>
      <w:proofErr w:type="gramStart"/>
      <w:r w:rsidRPr="005011DF">
        <w:rPr>
          <w:rFonts w:ascii="仿宋_GB2312" w:eastAsia="仿宋_GB2312" w:hint="eastAsia"/>
          <w:sz w:val="24"/>
        </w:rPr>
        <w:t>评定分</w:t>
      </w:r>
      <w:proofErr w:type="gramEnd"/>
      <w:r w:rsidRPr="005011DF">
        <w:rPr>
          <w:rFonts w:ascii="仿宋_GB2312" w:eastAsia="仿宋_GB2312" w:hint="eastAsia"/>
          <w:sz w:val="24"/>
        </w:rPr>
        <w:t>委员会推荐的博士学位论文组织同行专家进行评议，并择优推荐其中部分论文参评“上海市研究生优秀成果（学位论文）”，由上海市学位办公室组织专家评审，选出上海市优秀博士学位论文</w:t>
      </w:r>
      <w:r>
        <w:rPr>
          <w:rFonts w:ascii="仿宋_GB2312" w:eastAsia="仿宋_GB2312" w:hint="eastAsia"/>
          <w:sz w:val="24"/>
        </w:rPr>
        <w:t>。</w:t>
      </w:r>
      <w:r w:rsidRPr="00196496">
        <w:rPr>
          <w:rFonts w:ascii="仿宋_GB2312" w:eastAsia="仿宋_GB2312" w:hint="eastAsia"/>
          <w:sz w:val="24"/>
        </w:rPr>
        <w:t>研究生院将根据“上海</w:t>
      </w:r>
      <w:r>
        <w:rPr>
          <w:rFonts w:ascii="仿宋_GB2312" w:eastAsia="仿宋_GB2312" w:hint="eastAsia"/>
          <w:sz w:val="24"/>
        </w:rPr>
        <w:t>市研究生优秀成果（学位论文）”的通讯评议结果，提交校学位评定委员会当年度复旦大学校级优秀硕士</w:t>
      </w:r>
      <w:r w:rsidRPr="00196496">
        <w:rPr>
          <w:rFonts w:ascii="仿宋_GB2312" w:eastAsia="仿宋_GB2312" w:hint="eastAsia"/>
          <w:sz w:val="24"/>
        </w:rPr>
        <w:t>学位论文入选名单</w:t>
      </w:r>
      <w:r>
        <w:rPr>
          <w:rFonts w:ascii="仿宋_GB2312" w:eastAsia="仿宋_GB2312" w:hint="eastAsia"/>
          <w:sz w:val="24"/>
        </w:rPr>
        <w:t>，审定产生校级优秀硕士学位论文</w:t>
      </w:r>
    </w:p>
    <w:p w:rsidR="0005015E" w:rsidRDefault="0005015E" w:rsidP="0005015E">
      <w:pPr>
        <w:adjustRightInd w:val="0"/>
        <w:spacing w:line="312" w:lineRule="auto"/>
        <w:ind w:left="482"/>
        <w:jc w:val="left"/>
        <w:rPr>
          <w:rFonts w:ascii="仿宋_GB2312" w:eastAsia="仿宋_GB2312"/>
          <w:b/>
          <w:bCs/>
          <w:szCs w:val="20"/>
        </w:rPr>
      </w:pPr>
    </w:p>
    <w:p w:rsidR="0005015E" w:rsidRDefault="0005015E" w:rsidP="0005015E">
      <w:pPr>
        <w:adjustRightInd w:val="0"/>
        <w:spacing w:line="312" w:lineRule="auto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/>
          <w:sz w:val="24"/>
        </w:rPr>
        <w:t xml:space="preserve">    </w:t>
      </w:r>
      <w:r>
        <w:rPr>
          <w:rFonts w:ascii="黑体" w:eastAsia="黑体" w:hint="eastAsia"/>
          <w:bCs/>
          <w:sz w:val="24"/>
        </w:rPr>
        <w:t>第五条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校优秀硕士学位论文入选名单经校学位评定委员会审定后上网公布。入选名单自公布之日起60天内为异议期。任何个人或单位，如对入选论文有异议，可在异议期内以书面形式向学位办提出异议及其具体依据（学位办负责对提出异议的个人或单位予以保密）。</w:t>
      </w:r>
    </w:p>
    <w:p w:rsidR="0005015E" w:rsidRDefault="0005015E" w:rsidP="0005015E">
      <w:pPr>
        <w:adjustRightInd w:val="0"/>
        <w:spacing w:line="312" w:lineRule="auto"/>
        <w:ind w:left="482"/>
        <w:jc w:val="left"/>
        <w:rPr>
          <w:rFonts w:ascii="仿宋_GB2312" w:eastAsia="仿宋_GB2312"/>
          <w:b/>
          <w:bCs/>
          <w:szCs w:val="20"/>
        </w:rPr>
      </w:pPr>
    </w:p>
    <w:p w:rsidR="0005015E" w:rsidRDefault="0005015E" w:rsidP="0005015E">
      <w:pPr>
        <w:adjustRightInd w:val="0"/>
        <w:spacing w:line="312" w:lineRule="auto"/>
        <w:ind w:firstLine="480"/>
        <w:rPr>
          <w:rFonts w:ascii="仿宋_GB2312" w:eastAsia="仿宋_GB2312"/>
          <w:sz w:val="24"/>
          <w:szCs w:val="20"/>
        </w:rPr>
      </w:pPr>
      <w:r>
        <w:rPr>
          <w:rFonts w:ascii="黑体" w:eastAsia="黑体" w:hint="eastAsia"/>
          <w:bCs/>
          <w:sz w:val="24"/>
        </w:rPr>
        <w:t>第六条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异议期结束后，入选论文将获得“复旦大学优秀硕士学位论文”称号，由学校颁发证书予以表彰；由此产生学校、上海市二级优秀硕士学位论文。</w:t>
      </w:r>
    </w:p>
    <w:p w:rsidR="0005015E" w:rsidRDefault="0005015E" w:rsidP="0005015E">
      <w:pPr>
        <w:adjustRightInd w:val="0"/>
        <w:spacing w:line="312" w:lineRule="auto"/>
        <w:ind w:left="482"/>
        <w:jc w:val="left"/>
        <w:rPr>
          <w:rFonts w:ascii="仿宋_GB2312" w:eastAsia="仿宋_GB2312"/>
          <w:b/>
          <w:bCs/>
          <w:szCs w:val="20"/>
        </w:rPr>
      </w:pPr>
    </w:p>
    <w:p w:rsidR="0005015E" w:rsidRDefault="0005015E" w:rsidP="0005015E">
      <w:pPr>
        <w:adjustRightInd w:val="0"/>
        <w:spacing w:line="312" w:lineRule="auto"/>
        <w:ind w:firstLine="480"/>
        <w:jc w:val="left"/>
        <w:rPr>
          <w:rFonts w:ascii="仿宋_GB2312" w:eastAsia="仿宋_GB2312"/>
          <w:sz w:val="24"/>
          <w:szCs w:val="20"/>
        </w:rPr>
      </w:pPr>
      <w:r>
        <w:rPr>
          <w:rFonts w:ascii="黑体" w:eastAsia="黑体" w:hint="eastAsia"/>
          <w:bCs/>
          <w:sz w:val="24"/>
        </w:rPr>
        <w:t>第七条</w:t>
      </w:r>
      <w:r>
        <w:rPr>
          <w:rFonts w:ascii="仿宋_GB2312" w:eastAsia="仿宋_GB2312"/>
          <w:b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对已获奖的学位论文，如发现有剽窃、作假行为或论文的主要研究成果不能成立等严重问题，一经认定即取消其“复旦大学优秀硕士学位论文”称号并予以公告，并校学位评定委员会重新审议其学位授予问题。</w:t>
      </w:r>
    </w:p>
    <w:p w:rsidR="0005015E" w:rsidRDefault="0005015E" w:rsidP="0005015E">
      <w:pPr>
        <w:adjustRightInd w:val="0"/>
        <w:spacing w:line="312" w:lineRule="auto"/>
        <w:ind w:firstLine="480"/>
        <w:rPr>
          <w:rFonts w:ascii="黑体" w:eastAsia="黑体" w:hint="eastAsia"/>
          <w:bCs/>
          <w:sz w:val="24"/>
        </w:rPr>
      </w:pPr>
    </w:p>
    <w:p w:rsidR="0005015E" w:rsidRDefault="0005015E" w:rsidP="0005015E">
      <w:pPr>
        <w:adjustRightInd w:val="0"/>
        <w:spacing w:line="312" w:lineRule="auto"/>
        <w:ind w:firstLine="480"/>
        <w:rPr>
          <w:rFonts w:ascii="仿宋_GB2312" w:eastAsia="仿宋_GB2312"/>
          <w:sz w:val="24"/>
          <w:szCs w:val="20"/>
        </w:rPr>
      </w:pPr>
      <w:r>
        <w:rPr>
          <w:rFonts w:ascii="黑体" w:eastAsia="黑体" w:hint="eastAsia"/>
          <w:bCs/>
          <w:sz w:val="24"/>
        </w:rPr>
        <w:t xml:space="preserve">第八条  </w:t>
      </w:r>
      <w:r>
        <w:rPr>
          <w:rFonts w:ascii="仿宋_GB2312" w:eastAsia="仿宋_GB2312" w:hint="eastAsia"/>
          <w:bCs/>
          <w:sz w:val="24"/>
        </w:rPr>
        <w:t>为配合上海市开展的研究生优秀成果（学位论文）评选工作，学校对入选上海市优秀硕士学位论文予以配套奖励，</w:t>
      </w:r>
      <w:r>
        <w:rPr>
          <w:rFonts w:ascii="仿宋_GB2312" w:eastAsia="仿宋_GB2312" w:hint="eastAsia"/>
          <w:sz w:val="24"/>
        </w:rPr>
        <w:t>配套奖励金额为每篇论文4000元，具体分配如下：</w:t>
      </w:r>
    </w:p>
    <w:p w:rsidR="0005015E" w:rsidRDefault="0005015E" w:rsidP="0005015E">
      <w:pPr>
        <w:adjustRightInd w:val="0"/>
        <w:spacing w:line="312" w:lineRule="auto"/>
        <w:ind w:firstLineChars="200" w:firstLine="480"/>
        <w:rPr>
          <w:rFonts w:ascii="仿宋_GB2312" w:eastAsia="仿宋_GB2312"/>
          <w:sz w:val="24"/>
          <w:szCs w:val="20"/>
        </w:rPr>
      </w:pPr>
      <w:r>
        <w:rPr>
          <w:rFonts w:ascii="仿宋_GB2312" w:eastAsia="仿宋_GB2312" w:hint="eastAsia"/>
          <w:sz w:val="24"/>
        </w:rPr>
        <w:t>一、对上海市优秀硕士学位论文作者，每篇奖励人民币2000元。</w:t>
      </w:r>
      <w:r>
        <w:rPr>
          <w:rFonts w:ascii="仿宋_GB2312" w:eastAsia="仿宋_GB2312"/>
          <w:sz w:val="24"/>
        </w:rPr>
        <w:t xml:space="preserve"> </w:t>
      </w:r>
    </w:p>
    <w:p w:rsidR="0005015E" w:rsidRDefault="0005015E" w:rsidP="0005015E">
      <w:pPr>
        <w:adjustRightInd w:val="0"/>
        <w:spacing w:line="312" w:lineRule="auto"/>
        <w:ind w:firstLineChars="200" w:firstLine="480"/>
        <w:rPr>
          <w:rFonts w:ascii="黑体" w:eastAsia="黑体" w:hint="eastAsia"/>
          <w:bCs/>
          <w:szCs w:val="20"/>
        </w:rPr>
      </w:pPr>
      <w:r>
        <w:rPr>
          <w:rFonts w:ascii="仿宋_GB2312" w:eastAsia="仿宋_GB2312" w:hint="eastAsia"/>
          <w:sz w:val="24"/>
        </w:rPr>
        <w:t>二、对上海市优秀硕士学位论文指导教师，每篇奖励人民币2000元。</w:t>
      </w:r>
    </w:p>
    <w:p w:rsidR="00CC7F6D" w:rsidRPr="0005015E" w:rsidRDefault="00CC7F6D"/>
    <w:sectPr w:rsidR="00CC7F6D" w:rsidRPr="0005015E">
      <w:pgSz w:w="11906" w:h="16838"/>
      <w:pgMar w:top="1157" w:right="1797" w:bottom="1157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5E"/>
    <w:rsid w:val="0005015E"/>
    <w:rsid w:val="00CC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15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姜友芬</dc:creator>
  <cp:lastModifiedBy>姜友芬</cp:lastModifiedBy>
  <cp:revision>1</cp:revision>
  <dcterms:created xsi:type="dcterms:W3CDTF">2015-08-17T03:53:00Z</dcterms:created>
  <dcterms:modified xsi:type="dcterms:W3CDTF">2015-08-17T03:54:00Z</dcterms:modified>
</cp:coreProperties>
</file>